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7A" w:rsidRDefault="005F587A">
      <w:pPr>
        <w:ind w:right="-427"/>
        <w:jc w:val="both"/>
        <w:rPr>
          <w:rFonts w:ascii="Arial" w:hAnsi="Arial"/>
          <w:i/>
          <w:sz w:val="24"/>
        </w:rPr>
      </w:pPr>
    </w:p>
    <w:p w:rsidR="005F587A" w:rsidRDefault="006A7A9C">
      <w:pPr>
        <w:ind w:right="-427"/>
        <w:rPr>
          <w:sz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11pt">
            <v:imagedata r:id="rId5" o:title=""/>
          </v:shape>
        </w:pict>
      </w:r>
      <w:r w:rsidR="005F587A">
        <w:rPr>
          <w:rFonts w:ascii="Arial" w:hAnsi="Arial"/>
          <w:b/>
          <w:sz w:val="48"/>
        </w:rPr>
        <w:t>South Yorkshire Orienteers</w:t>
      </w:r>
      <w:r>
        <w:pict>
          <v:shape id="_x0000_i1026" type="#_x0000_t75" style="width:112.5pt;height:108pt">
            <v:imagedata r:id="rId5" o:title=""/>
          </v:shape>
        </w:pict>
      </w:r>
    </w:p>
    <w:p w:rsidR="005F587A" w:rsidRDefault="005F587A">
      <w:pPr>
        <w:ind w:right="-427"/>
        <w:rPr>
          <w:i/>
          <w:sz w:val="22"/>
        </w:rPr>
      </w:pPr>
      <w:r>
        <w:rPr>
          <w:sz w:val="56"/>
        </w:rPr>
        <w:t xml:space="preserve">                 </w:t>
      </w:r>
      <w:proofErr w:type="gramStart"/>
      <w:r>
        <w:rPr>
          <w:i/>
          <w:sz w:val="22"/>
        </w:rPr>
        <w:t>affiliated</w:t>
      </w:r>
      <w:proofErr w:type="gramEnd"/>
      <w:r>
        <w:rPr>
          <w:i/>
          <w:sz w:val="22"/>
        </w:rPr>
        <w:t xml:space="preserve"> to Yorkshire and Humberside Orienteering Association</w:t>
      </w:r>
    </w:p>
    <w:p w:rsidR="005F587A" w:rsidRDefault="005F587A">
      <w:pPr>
        <w:ind w:right="-427"/>
        <w:rPr>
          <w:i/>
          <w:sz w:val="22"/>
        </w:rPr>
      </w:pPr>
    </w:p>
    <w:p w:rsidR="005F587A" w:rsidRPr="00182BC2" w:rsidRDefault="0081503F">
      <w:pPr>
        <w:ind w:right="-427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YHOA Superl</w:t>
      </w:r>
      <w:r w:rsidR="00A464A0">
        <w:rPr>
          <w:rFonts w:ascii="Arial" w:hAnsi="Arial"/>
          <w:b/>
          <w:sz w:val="36"/>
          <w:szCs w:val="36"/>
        </w:rPr>
        <w:t xml:space="preserve">eague </w:t>
      </w:r>
      <w:r w:rsidR="005F587A" w:rsidRPr="00182BC2">
        <w:rPr>
          <w:rFonts w:ascii="Arial" w:hAnsi="Arial"/>
          <w:b/>
          <w:sz w:val="36"/>
          <w:szCs w:val="36"/>
        </w:rPr>
        <w:t>Event Sunday 1</w:t>
      </w:r>
      <w:r w:rsidR="00A464A0">
        <w:rPr>
          <w:rFonts w:ascii="Arial" w:hAnsi="Arial"/>
          <w:b/>
          <w:sz w:val="36"/>
          <w:szCs w:val="36"/>
        </w:rPr>
        <w:t>0</w:t>
      </w:r>
      <w:r w:rsidR="00DD3CB1" w:rsidRPr="00182BC2">
        <w:rPr>
          <w:rFonts w:ascii="Arial" w:hAnsi="Arial"/>
          <w:b/>
          <w:sz w:val="36"/>
          <w:szCs w:val="36"/>
          <w:vertAlign w:val="superscript"/>
        </w:rPr>
        <w:t>th</w:t>
      </w:r>
      <w:r w:rsidR="00A464A0">
        <w:rPr>
          <w:rFonts w:ascii="Arial" w:hAnsi="Arial"/>
          <w:b/>
          <w:sz w:val="36"/>
          <w:szCs w:val="36"/>
        </w:rPr>
        <w:t xml:space="preserve"> January 2015</w:t>
      </w:r>
    </w:p>
    <w:p w:rsidR="005F587A" w:rsidRDefault="005F587A">
      <w:pPr>
        <w:ind w:right="-427"/>
        <w:rPr>
          <w:i/>
          <w:sz w:val="22"/>
        </w:rPr>
      </w:pPr>
    </w:p>
    <w:p w:rsidR="005F587A" w:rsidRDefault="005F587A">
      <w:pPr>
        <w:shd w:val="pct20" w:color="auto" w:fill="auto"/>
        <w:ind w:right="-427"/>
        <w:jc w:val="center"/>
        <w:rPr>
          <w:rFonts w:ascii="Arial" w:hAnsi="Arial"/>
          <w:b/>
          <w:sz w:val="48"/>
          <w:szCs w:val="48"/>
        </w:rPr>
      </w:pPr>
      <w:proofErr w:type="spellStart"/>
      <w:r w:rsidRPr="00182BC2">
        <w:rPr>
          <w:rFonts w:ascii="Arial" w:hAnsi="Arial"/>
          <w:b/>
          <w:sz w:val="48"/>
          <w:szCs w:val="48"/>
        </w:rPr>
        <w:t>Canklow</w:t>
      </w:r>
      <w:proofErr w:type="spellEnd"/>
      <w:r w:rsidRPr="00182BC2">
        <w:rPr>
          <w:rFonts w:ascii="Arial" w:hAnsi="Arial"/>
          <w:b/>
          <w:sz w:val="48"/>
          <w:szCs w:val="48"/>
        </w:rPr>
        <w:t xml:space="preserve"> Woods</w:t>
      </w:r>
      <w:r w:rsidR="00182BC2" w:rsidRPr="00182BC2">
        <w:rPr>
          <w:rFonts w:ascii="Arial" w:hAnsi="Arial"/>
          <w:b/>
          <w:sz w:val="48"/>
          <w:szCs w:val="48"/>
        </w:rPr>
        <w:t>, Rotherham</w:t>
      </w:r>
    </w:p>
    <w:p w:rsidR="00A464A0" w:rsidRPr="00182BC2" w:rsidRDefault="00A464A0">
      <w:pPr>
        <w:shd w:val="pct20" w:color="auto" w:fill="auto"/>
        <w:ind w:right="-427"/>
        <w:jc w:val="center"/>
        <w:rPr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MIDDLE DISTANCE RACE</w:t>
      </w:r>
    </w:p>
    <w:p w:rsidR="005F587A" w:rsidRPr="00D82563" w:rsidRDefault="005F587A">
      <w:pPr>
        <w:ind w:right="-427"/>
        <w:jc w:val="center"/>
        <w:rPr>
          <w:b/>
          <w:sz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306F27" w:rsidRPr="00D82563" w:rsidTr="008D11DD">
        <w:tc>
          <w:tcPr>
            <w:tcW w:w="1417" w:type="dxa"/>
          </w:tcPr>
          <w:p w:rsidR="00306F27" w:rsidRPr="00D82563" w:rsidRDefault="00306F27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Assembly</w:t>
            </w:r>
          </w:p>
          <w:p w:rsidR="00306F27" w:rsidRPr="00D82563" w:rsidRDefault="00306F27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and Car Park</w:t>
            </w:r>
          </w:p>
        </w:tc>
        <w:tc>
          <w:tcPr>
            <w:tcW w:w="8505" w:type="dxa"/>
          </w:tcPr>
          <w:p w:rsidR="002003C1" w:rsidRPr="000C338D" w:rsidRDefault="00306F27" w:rsidP="00904023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 w:rsidRPr="000C338D">
              <w:rPr>
                <w:rFonts w:ascii="Arial" w:hAnsi="Arial" w:cs="Arial"/>
                <w:sz w:val="20"/>
                <w:szCs w:val="20"/>
              </w:rPr>
              <w:t xml:space="preserve">Car parking is </w:t>
            </w:r>
            <w:r w:rsidR="00BC7E41" w:rsidRPr="000C338D">
              <w:rPr>
                <w:rFonts w:ascii="Arial" w:hAnsi="Arial" w:cs="Arial"/>
                <w:sz w:val="20"/>
                <w:szCs w:val="20"/>
              </w:rPr>
              <w:t>on hard standing</w:t>
            </w:r>
            <w:r w:rsidR="00A464A0" w:rsidRPr="000C3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38D">
              <w:rPr>
                <w:rFonts w:ascii="Arial" w:hAnsi="Arial" w:cs="Arial"/>
                <w:sz w:val="20"/>
                <w:szCs w:val="20"/>
              </w:rPr>
              <w:t>within the grounds of Thomas Rotherham College</w:t>
            </w:r>
            <w:r w:rsidR="002003C1" w:rsidRPr="000C338D">
              <w:rPr>
                <w:rFonts w:ascii="Arial" w:hAnsi="Arial" w:cs="Arial"/>
                <w:sz w:val="20"/>
                <w:szCs w:val="20"/>
              </w:rPr>
              <w:t xml:space="preserve"> which is not far from junction 33 of</w:t>
            </w:r>
            <w:r w:rsidR="00182BC2" w:rsidRPr="000C338D">
              <w:rPr>
                <w:rFonts w:ascii="Arial" w:hAnsi="Arial" w:cs="Arial"/>
                <w:sz w:val="20"/>
                <w:szCs w:val="20"/>
              </w:rPr>
              <w:t xml:space="preserve"> the M1</w:t>
            </w:r>
            <w:r w:rsidRPr="000C338D">
              <w:rPr>
                <w:rFonts w:ascii="Arial" w:hAnsi="Arial" w:cs="Arial"/>
                <w:sz w:val="20"/>
                <w:szCs w:val="20"/>
              </w:rPr>
              <w:t xml:space="preserve"> Motorway to the south of Rotherh</w:t>
            </w:r>
            <w:r w:rsidR="00D82563" w:rsidRPr="000C338D">
              <w:rPr>
                <w:rFonts w:ascii="Arial" w:hAnsi="Arial" w:cs="Arial"/>
                <w:sz w:val="20"/>
                <w:szCs w:val="20"/>
              </w:rPr>
              <w:t>am. Registration and download are</w:t>
            </w:r>
            <w:r w:rsidRPr="000C338D">
              <w:rPr>
                <w:rFonts w:ascii="Arial" w:hAnsi="Arial" w:cs="Arial"/>
                <w:sz w:val="20"/>
                <w:szCs w:val="20"/>
              </w:rPr>
              <w:t xml:space="preserve"> inside the college next to the car park.</w:t>
            </w:r>
            <w:r w:rsidR="002003C1" w:rsidRPr="000C33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27" w:rsidRPr="000C338D" w:rsidRDefault="00306F27" w:rsidP="00904023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 w:rsidRPr="000C338D">
              <w:rPr>
                <w:rFonts w:ascii="Arial" w:hAnsi="Arial" w:cs="Arial"/>
                <w:sz w:val="20"/>
                <w:szCs w:val="20"/>
              </w:rPr>
              <w:t>Thomas Rotherham College is located at the junction of Moorg</w:t>
            </w:r>
            <w:r w:rsidR="007D69EA" w:rsidRPr="000C338D">
              <w:rPr>
                <w:rFonts w:ascii="Arial" w:hAnsi="Arial" w:cs="Arial"/>
                <w:sz w:val="20"/>
                <w:szCs w:val="20"/>
              </w:rPr>
              <w:t>ate Road and Boston Castle Grove</w:t>
            </w:r>
            <w:r w:rsidRPr="000C338D">
              <w:rPr>
                <w:rFonts w:ascii="Arial" w:hAnsi="Arial" w:cs="Arial"/>
                <w:sz w:val="20"/>
                <w:szCs w:val="20"/>
              </w:rPr>
              <w:t>, Rotherham</w:t>
            </w:r>
            <w:r w:rsidR="007D69EA" w:rsidRPr="000C338D">
              <w:rPr>
                <w:rFonts w:ascii="Arial" w:hAnsi="Arial" w:cs="Arial"/>
                <w:sz w:val="20"/>
                <w:szCs w:val="20"/>
              </w:rPr>
              <w:t xml:space="preserve">. Post code S60 2BE. </w:t>
            </w:r>
          </w:p>
          <w:p w:rsidR="004F7BB6" w:rsidRPr="000C338D" w:rsidRDefault="004F7BB6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306F27" w:rsidRPr="00D82563" w:rsidTr="008D11DD">
        <w:trPr>
          <w:trHeight w:val="1449"/>
        </w:trPr>
        <w:tc>
          <w:tcPr>
            <w:tcW w:w="1417" w:type="dxa"/>
          </w:tcPr>
          <w:p w:rsidR="00306F27" w:rsidRPr="00D82563" w:rsidRDefault="00306F27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Travel</w:t>
            </w:r>
          </w:p>
          <w:p w:rsidR="00BC7E41" w:rsidRPr="00D82563" w:rsidRDefault="00BC7E41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</w:p>
          <w:p w:rsidR="00BC7E41" w:rsidRPr="00D82563" w:rsidRDefault="00BC7E41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</w:p>
          <w:p w:rsidR="00BC7E41" w:rsidRPr="00D82563" w:rsidRDefault="00BC7E41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</w:p>
          <w:p w:rsidR="00BC7E41" w:rsidRPr="00D82563" w:rsidRDefault="00BC7E41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8505" w:type="dxa"/>
          </w:tcPr>
          <w:p w:rsidR="00306F27" w:rsidRPr="000C338D" w:rsidRDefault="00A464A0" w:rsidP="00182BC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</w:rPr>
            </w:pPr>
            <w:r w:rsidRPr="000C338D">
              <w:rPr>
                <w:rFonts w:ascii="Arial" w:hAnsi="Arial" w:cs="Arial"/>
              </w:rPr>
              <w:t>From</w:t>
            </w:r>
            <w:r w:rsidR="0062167D" w:rsidRPr="000C338D">
              <w:rPr>
                <w:rFonts w:ascii="Arial" w:hAnsi="Arial" w:cs="Arial"/>
              </w:rPr>
              <w:t xml:space="preserve"> </w:t>
            </w:r>
            <w:r w:rsidR="00306F27" w:rsidRPr="000C338D">
              <w:rPr>
                <w:rFonts w:ascii="Arial" w:hAnsi="Arial" w:cs="Arial"/>
              </w:rPr>
              <w:t>junction 33</w:t>
            </w:r>
            <w:r w:rsidRPr="000C338D">
              <w:rPr>
                <w:rFonts w:ascii="Arial" w:hAnsi="Arial" w:cs="Arial"/>
              </w:rPr>
              <w:t xml:space="preserve"> </w:t>
            </w:r>
            <w:r w:rsidR="0062167D" w:rsidRPr="000C338D">
              <w:rPr>
                <w:rFonts w:ascii="Arial" w:hAnsi="Arial" w:cs="Arial"/>
              </w:rPr>
              <w:t xml:space="preserve">of the M1 </w:t>
            </w:r>
            <w:r w:rsidRPr="000C338D">
              <w:rPr>
                <w:rFonts w:ascii="Arial" w:hAnsi="Arial" w:cs="Arial"/>
              </w:rPr>
              <w:t>take the exit towards Rotherham</w:t>
            </w:r>
            <w:r w:rsidR="00306F27" w:rsidRPr="000C338D">
              <w:rPr>
                <w:rFonts w:ascii="Arial" w:hAnsi="Arial" w:cs="Arial"/>
              </w:rPr>
              <w:t>.</w:t>
            </w:r>
            <w:r w:rsidR="00BC7E41" w:rsidRPr="000C338D">
              <w:rPr>
                <w:rFonts w:ascii="Arial" w:hAnsi="Arial" w:cs="Arial"/>
              </w:rPr>
              <w:t xml:space="preserve"> </w:t>
            </w:r>
            <w:r w:rsidR="00306F27" w:rsidRPr="000C338D">
              <w:rPr>
                <w:rFonts w:ascii="Arial" w:hAnsi="Arial" w:cs="Arial"/>
              </w:rPr>
              <w:t xml:space="preserve">At the </w:t>
            </w:r>
            <w:r w:rsidRPr="000C338D">
              <w:rPr>
                <w:rFonts w:ascii="Arial" w:hAnsi="Arial" w:cs="Arial"/>
              </w:rPr>
              <w:t xml:space="preserve">first </w:t>
            </w:r>
            <w:r w:rsidR="00306F27" w:rsidRPr="000C338D">
              <w:rPr>
                <w:rFonts w:ascii="Arial" w:hAnsi="Arial" w:cs="Arial"/>
              </w:rPr>
              <w:t>roundabout take the 2</w:t>
            </w:r>
            <w:r w:rsidR="00306F27" w:rsidRPr="000C338D">
              <w:rPr>
                <w:rFonts w:ascii="Arial" w:hAnsi="Arial" w:cs="Arial"/>
                <w:vertAlign w:val="superscript"/>
              </w:rPr>
              <w:t>nd</w:t>
            </w:r>
            <w:r w:rsidR="00306F27" w:rsidRPr="000C338D">
              <w:rPr>
                <w:rFonts w:ascii="Arial" w:hAnsi="Arial" w:cs="Arial"/>
              </w:rPr>
              <w:t xml:space="preserve"> exit onto the A631 </w:t>
            </w:r>
            <w:proofErr w:type="spellStart"/>
            <w:r w:rsidR="00306F27" w:rsidRPr="000C338D">
              <w:rPr>
                <w:rFonts w:ascii="Arial" w:hAnsi="Arial" w:cs="Arial"/>
              </w:rPr>
              <w:t>Bawtry</w:t>
            </w:r>
            <w:proofErr w:type="spellEnd"/>
            <w:r w:rsidR="00306F27" w:rsidRPr="000C338D">
              <w:rPr>
                <w:rFonts w:ascii="Arial" w:hAnsi="Arial" w:cs="Arial"/>
              </w:rPr>
              <w:t xml:space="preserve"> Road for 0.8 miles. Turn</w:t>
            </w:r>
            <w:r w:rsidRPr="000C338D">
              <w:rPr>
                <w:rFonts w:ascii="Arial" w:hAnsi="Arial" w:cs="Arial"/>
              </w:rPr>
              <w:t xml:space="preserve"> left at A618 Moorgate Road. In </w:t>
            </w:r>
            <w:r w:rsidR="00306F27" w:rsidRPr="000C338D">
              <w:rPr>
                <w:rFonts w:ascii="Arial" w:hAnsi="Arial" w:cs="Arial"/>
              </w:rPr>
              <w:t xml:space="preserve">1.2 miles turn left into Boston Castle </w:t>
            </w:r>
            <w:r w:rsidR="007D69EA" w:rsidRPr="000C338D">
              <w:rPr>
                <w:rFonts w:ascii="Arial" w:hAnsi="Arial" w:cs="Arial"/>
              </w:rPr>
              <w:t>Grove</w:t>
            </w:r>
          </w:p>
          <w:p w:rsidR="00450767" w:rsidRPr="000C338D" w:rsidRDefault="00D82563" w:rsidP="00182BC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</w:rPr>
            </w:pPr>
            <w:r w:rsidRPr="000C338D">
              <w:rPr>
                <w:rFonts w:ascii="Arial" w:hAnsi="Arial" w:cs="Arial"/>
              </w:rPr>
              <w:t xml:space="preserve">Indoor Registration </w:t>
            </w:r>
            <w:r w:rsidR="00BC7E41" w:rsidRPr="000C338D">
              <w:rPr>
                <w:rFonts w:ascii="Arial" w:hAnsi="Arial" w:cs="Arial"/>
              </w:rPr>
              <w:t>and download. Toilets, changing facilities and showers</w:t>
            </w:r>
            <w:r w:rsidR="00450767" w:rsidRPr="000C338D">
              <w:rPr>
                <w:rFonts w:ascii="Arial" w:hAnsi="Arial" w:cs="Arial"/>
              </w:rPr>
              <w:t xml:space="preserve"> within the college.</w:t>
            </w:r>
          </w:p>
        </w:tc>
      </w:tr>
      <w:tr w:rsidR="00306F27" w:rsidRPr="00D82563" w:rsidTr="008D11DD">
        <w:tc>
          <w:tcPr>
            <w:tcW w:w="1417" w:type="dxa"/>
          </w:tcPr>
          <w:p w:rsidR="00306F27" w:rsidRPr="00D82563" w:rsidRDefault="00306F27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Terrain</w:t>
            </w:r>
          </w:p>
        </w:tc>
        <w:tc>
          <w:tcPr>
            <w:tcW w:w="8505" w:type="dxa"/>
          </w:tcPr>
          <w:p w:rsidR="00306F27" w:rsidRPr="000C338D" w:rsidRDefault="00306F27" w:rsidP="00904023">
            <w:pPr>
              <w:ind w:right="283"/>
              <w:rPr>
                <w:rFonts w:ascii="Arial" w:hAnsi="Arial" w:cs="Arial"/>
              </w:rPr>
            </w:pPr>
            <w:proofErr w:type="spellStart"/>
            <w:r w:rsidRPr="000C338D">
              <w:rPr>
                <w:rFonts w:ascii="Arial" w:hAnsi="Arial" w:cs="Arial"/>
                <w:bCs/>
              </w:rPr>
              <w:t>Canklow</w:t>
            </w:r>
            <w:proofErr w:type="spellEnd"/>
            <w:r w:rsidRPr="000C338D">
              <w:rPr>
                <w:rFonts w:ascii="Arial" w:hAnsi="Arial" w:cs="Arial"/>
                <w:bCs/>
              </w:rPr>
              <w:t xml:space="preserve"> is a steep wooded area with many paths and intricate </w:t>
            </w:r>
            <w:r w:rsidR="002003C1" w:rsidRPr="000C338D">
              <w:rPr>
                <w:rFonts w:ascii="Arial" w:hAnsi="Arial" w:cs="Arial"/>
                <w:bCs/>
              </w:rPr>
              <w:t xml:space="preserve">contour </w:t>
            </w:r>
            <w:r w:rsidRPr="000C338D">
              <w:rPr>
                <w:rFonts w:ascii="Arial" w:hAnsi="Arial" w:cs="Arial"/>
                <w:bCs/>
              </w:rPr>
              <w:t>detail at the top. It is an area used by local people for walking dogs e</w:t>
            </w:r>
            <w:r w:rsidR="00182BC2" w:rsidRPr="000C338D">
              <w:rPr>
                <w:rFonts w:ascii="Arial" w:hAnsi="Arial" w:cs="Arial"/>
                <w:bCs/>
              </w:rPr>
              <w:t>tc.  There are also occasional</w:t>
            </w:r>
            <w:r w:rsidR="00163D78" w:rsidRPr="000C338D">
              <w:rPr>
                <w:rFonts w:ascii="Arial" w:hAnsi="Arial" w:cs="Arial"/>
                <w:bCs/>
              </w:rPr>
              <w:t xml:space="preserve"> motorcycle riders in the woods.</w:t>
            </w:r>
            <w:r w:rsidRPr="000C338D">
              <w:rPr>
                <w:rFonts w:ascii="Arial" w:hAnsi="Arial" w:cs="Arial"/>
              </w:rPr>
              <w:t xml:space="preserve"> </w:t>
            </w:r>
          </w:p>
          <w:p w:rsidR="004F7BB6" w:rsidRPr="000C338D" w:rsidRDefault="004F7BB6" w:rsidP="00163D78">
            <w:pPr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306F27" w:rsidRPr="00D82563" w:rsidTr="008D11DD">
        <w:tc>
          <w:tcPr>
            <w:tcW w:w="1417" w:type="dxa"/>
          </w:tcPr>
          <w:p w:rsidR="00306F27" w:rsidRPr="00D82563" w:rsidRDefault="00306F27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Map</w:t>
            </w:r>
          </w:p>
        </w:tc>
        <w:tc>
          <w:tcPr>
            <w:tcW w:w="8505" w:type="dxa"/>
          </w:tcPr>
          <w:p w:rsidR="00306F27" w:rsidRPr="000C338D" w:rsidRDefault="00D17EC4" w:rsidP="00182BC2">
            <w:pPr>
              <w:ind w:right="-427"/>
              <w:jc w:val="both"/>
              <w:rPr>
                <w:rFonts w:ascii="Arial" w:hAnsi="Arial" w:cs="Arial"/>
              </w:rPr>
            </w:pPr>
            <w:r w:rsidRPr="000C338D">
              <w:rPr>
                <w:rFonts w:ascii="Arial" w:hAnsi="Arial" w:cs="Arial"/>
              </w:rPr>
              <w:t>1:7500 ISOM</w:t>
            </w:r>
            <w:r w:rsidR="00D82563" w:rsidRPr="000C338D">
              <w:rPr>
                <w:rFonts w:ascii="Arial" w:hAnsi="Arial" w:cs="Arial"/>
              </w:rPr>
              <w:t xml:space="preserve"> Updated in November and December</w:t>
            </w:r>
            <w:r w:rsidR="0062167D" w:rsidRPr="000C338D">
              <w:rPr>
                <w:rFonts w:ascii="Arial" w:hAnsi="Arial" w:cs="Arial"/>
              </w:rPr>
              <w:t xml:space="preserve"> 2015 by Charles </w:t>
            </w:r>
            <w:proofErr w:type="spellStart"/>
            <w:r w:rsidR="0062167D" w:rsidRPr="000C338D">
              <w:rPr>
                <w:rFonts w:ascii="Arial" w:hAnsi="Arial" w:cs="Arial"/>
              </w:rPr>
              <w:t>Hird</w:t>
            </w:r>
            <w:proofErr w:type="spellEnd"/>
            <w:r w:rsidR="0062167D" w:rsidRPr="000C338D">
              <w:rPr>
                <w:rFonts w:ascii="Arial" w:hAnsi="Arial" w:cs="Arial"/>
              </w:rPr>
              <w:t xml:space="preserve"> (SYO) </w:t>
            </w:r>
          </w:p>
          <w:p w:rsidR="004F7BB6" w:rsidRPr="000C338D" w:rsidRDefault="004F7BB6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306F27" w:rsidRPr="00D82563" w:rsidTr="008D11DD">
        <w:tc>
          <w:tcPr>
            <w:tcW w:w="1417" w:type="dxa"/>
          </w:tcPr>
          <w:p w:rsidR="00306F27" w:rsidRPr="00D82563" w:rsidRDefault="007D69EA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Courses</w:t>
            </w:r>
          </w:p>
        </w:tc>
        <w:tc>
          <w:tcPr>
            <w:tcW w:w="8505" w:type="dxa"/>
          </w:tcPr>
          <w:p w:rsidR="00A41081" w:rsidRPr="000C338D" w:rsidRDefault="00346B44" w:rsidP="00182BC2"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the courses available is provided in this table, which includes the </w:t>
            </w:r>
            <w:r w:rsidR="0081503F">
              <w:rPr>
                <w:rFonts w:ascii="Arial" w:hAnsi="Arial" w:cs="Arial"/>
              </w:rPr>
              <w:t>standard</w:t>
            </w:r>
            <w:r w:rsidR="00A41081" w:rsidRPr="000C338D">
              <w:rPr>
                <w:rFonts w:ascii="Arial" w:hAnsi="Arial" w:cs="Arial"/>
              </w:rPr>
              <w:t xml:space="preserve"> course for </w:t>
            </w:r>
            <w:r>
              <w:rPr>
                <w:rFonts w:ascii="Arial" w:hAnsi="Arial" w:cs="Arial"/>
              </w:rPr>
              <w:t xml:space="preserve">each </w:t>
            </w:r>
            <w:r w:rsidR="00A41081" w:rsidRPr="000C338D">
              <w:rPr>
                <w:rFonts w:ascii="Arial" w:hAnsi="Arial" w:cs="Arial"/>
              </w:rPr>
              <w:t xml:space="preserve">age group </w:t>
            </w:r>
            <w:r w:rsidR="0081503F">
              <w:rPr>
                <w:rFonts w:ascii="Arial" w:hAnsi="Arial" w:cs="Arial"/>
              </w:rPr>
              <w:t xml:space="preserve">in the </w:t>
            </w:r>
            <w:r>
              <w:rPr>
                <w:rFonts w:ascii="Arial" w:hAnsi="Arial" w:cs="Arial"/>
              </w:rPr>
              <w:t xml:space="preserve">YHOA </w:t>
            </w:r>
            <w:r w:rsidR="0081503F">
              <w:rPr>
                <w:rFonts w:ascii="Arial" w:hAnsi="Arial" w:cs="Arial"/>
              </w:rPr>
              <w:t>Superleague</w:t>
            </w:r>
            <w:r w:rsidR="00A41081" w:rsidRPr="000C338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As a middle distance race we expect the courses to be won in around 30-35 minutes.</w:t>
            </w:r>
          </w:p>
          <w:p w:rsidR="000C338D" w:rsidRPr="000C338D" w:rsidRDefault="000C338D" w:rsidP="00182BC2">
            <w:pPr>
              <w:ind w:right="283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6"/>
              <w:gridCol w:w="1337"/>
              <w:gridCol w:w="1385"/>
              <w:gridCol w:w="978"/>
              <w:gridCol w:w="1482"/>
              <w:gridCol w:w="1691"/>
            </w:tblGrid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Course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Length (</w:t>
                  </w:r>
                  <w:proofErr w:type="spellStart"/>
                  <w:r w:rsidRPr="00346B44">
                    <w:rPr>
                      <w:rFonts w:ascii="Arial" w:hAnsi="Arial" w:cs="Arial"/>
                    </w:rPr>
                    <w:t>kM</w:t>
                  </w:r>
                  <w:proofErr w:type="spellEnd"/>
                  <w:r w:rsidRPr="00346B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Climb (m)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Controls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346B44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Men’s C</w:t>
                  </w:r>
                  <w:r w:rsidR="00346B44">
                    <w:rPr>
                      <w:rFonts w:ascii="Arial" w:hAnsi="Arial" w:cs="Arial"/>
                    </w:rPr>
                    <w:t>lass</w:t>
                  </w:r>
                  <w:r w:rsidRPr="00346B44">
                    <w:rPr>
                      <w:rFonts w:ascii="Arial" w:hAnsi="Arial" w:cs="Arial"/>
                    </w:rPr>
                    <w:t>e</w:t>
                  </w:r>
                  <w:r w:rsidR="00346B44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 xml:space="preserve">Women’s </w:t>
                  </w:r>
                  <w:r w:rsidR="00346B44" w:rsidRPr="00346B44">
                    <w:rPr>
                      <w:rFonts w:ascii="Arial" w:hAnsi="Arial" w:cs="Arial"/>
                    </w:rPr>
                    <w:t>C</w:t>
                  </w:r>
                  <w:r w:rsidR="00346B44">
                    <w:rPr>
                      <w:rFonts w:ascii="Arial" w:hAnsi="Arial" w:cs="Arial"/>
                    </w:rPr>
                    <w:t>lass</w:t>
                  </w:r>
                  <w:r w:rsidR="00346B44" w:rsidRPr="00346B44">
                    <w:rPr>
                      <w:rFonts w:ascii="Arial" w:hAnsi="Arial" w:cs="Arial"/>
                    </w:rPr>
                    <w:t>e</w:t>
                  </w:r>
                  <w:r w:rsidR="00346B44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Black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5.6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215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346B44" w:rsidP="008D11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M21 M</w:t>
                  </w:r>
                  <w:r w:rsidR="000C338D" w:rsidRPr="00346B44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0C338D" w:rsidRPr="00346B44">
                    <w:rPr>
                      <w:rFonts w:ascii="Arial" w:hAnsi="Arial" w:cs="Arial"/>
                    </w:rPr>
                    <w:t xml:space="preserve"> M40 M18 M20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Brown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4.9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140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M45 M50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W21 W18 W20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Blue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4.4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155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M55 M60 M16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W35 W40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Green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3.4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115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M65 M70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W45 W50 W16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Short Green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2.8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M75 M80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7C2493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 xml:space="preserve">W55 W60 W65 </w:t>
                  </w:r>
                </w:p>
              </w:tc>
            </w:tr>
            <w:tr w:rsidR="007C2493" w:rsidRPr="000C338D" w:rsidTr="000C338D">
              <w:tc>
                <w:tcPr>
                  <w:tcW w:w="1579" w:type="dxa"/>
                  <w:shd w:val="clear" w:color="auto" w:fill="auto"/>
                </w:tcPr>
                <w:p w:rsidR="007C2493" w:rsidRPr="00346B44" w:rsidRDefault="007C2493" w:rsidP="008D11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Very Short Green</w:t>
                  </w:r>
                </w:p>
              </w:tc>
              <w:tc>
                <w:tcPr>
                  <w:tcW w:w="1506" w:type="dxa"/>
                  <w:shd w:val="clear" w:color="auto" w:fill="auto"/>
                </w:tcPr>
                <w:p w:rsidR="007C2493" w:rsidRPr="00346B44" w:rsidRDefault="007C2493" w:rsidP="008D11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2.3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7C2493" w:rsidRPr="00346B44" w:rsidRDefault="007C2493" w:rsidP="008D11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7C2493" w:rsidRPr="00346B44" w:rsidRDefault="007C2493" w:rsidP="008D11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7C2493" w:rsidRPr="00346B44" w:rsidRDefault="007C2493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  <w:shd w:val="clear" w:color="auto" w:fill="auto"/>
                </w:tcPr>
                <w:p w:rsidR="007C2493" w:rsidRPr="00346B44" w:rsidRDefault="007C2493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W70 W75 W80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Light Green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2.9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M14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W14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Orange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1.9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M12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W12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Yellow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1.7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M10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W10</w:t>
                  </w:r>
                </w:p>
              </w:tc>
            </w:tr>
            <w:tr w:rsidR="000C338D" w:rsidRPr="000C338D" w:rsidTr="000C338D">
              <w:tc>
                <w:tcPr>
                  <w:tcW w:w="1579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White</w:t>
                  </w:r>
                </w:p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1.3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:rsidR="000C338D" w:rsidRPr="00346B44" w:rsidRDefault="000C338D" w:rsidP="008D11DD">
                  <w:pPr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</w:tcPr>
                <w:p w:rsidR="000C338D" w:rsidRPr="00346B44" w:rsidRDefault="000C338D" w:rsidP="000C338D">
                  <w:pPr>
                    <w:jc w:val="center"/>
                    <w:rPr>
                      <w:rFonts w:ascii="Arial" w:hAnsi="Arial" w:cs="Arial"/>
                    </w:rPr>
                  </w:pPr>
                  <w:r w:rsidRPr="00346B44">
                    <w:rPr>
                      <w:rFonts w:ascii="Arial" w:hAnsi="Arial" w:cs="Arial"/>
                    </w:rPr>
                    <w:t>JUNIOR NOVICES</w:t>
                  </w:r>
                </w:p>
              </w:tc>
            </w:tr>
          </w:tbl>
          <w:p w:rsidR="000C338D" w:rsidRPr="000C338D" w:rsidRDefault="000C338D" w:rsidP="00182BC2">
            <w:pPr>
              <w:ind w:right="283"/>
              <w:rPr>
                <w:rFonts w:ascii="Arial" w:hAnsi="Arial" w:cs="Arial"/>
              </w:rPr>
            </w:pPr>
          </w:p>
          <w:p w:rsidR="000C338D" w:rsidRPr="000C338D" w:rsidRDefault="000C338D" w:rsidP="00182BC2">
            <w:pPr>
              <w:ind w:right="283"/>
              <w:rPr>
                <w:rFonts w:ascii="Arial" w:hAnsi="Arial" w:cs="Arial"/>
              </w:rPr>
            </w:pPr>
          </w:p>
          <w:p w:rsidR="00306F27" w:rsidRDefault="00306F27" w:rsidP="00182BC2">
            <w:pPr>
              <w:ind w:right="-427"/>
              <w:jc w:val="both"/>
              <w:rPr>
                <w:rFonts w:ascii="Arial" w:hAnsi="Arial" w:cs="Arial"/>
              </w:rPr>
            </w:pPr>
          </w:p>
          <w:p w:rsidR="000C338D" w:rsidRDefault="000C338D" w:rsidP="00182BC2">
            <w:pPr>
              <w:ind w:right="-427"/>
              <w:jc w:val="both"/>
              <w:rPr>
                <w:rFonts w:ascii="Arial" w:hAnsi="Arial" w:cs="Arial"/>
              </w:rPr>
            </w:pPr>
          </w:p>
          <w:p w:rsidR="008D11DD" w:rsidRDefault="006A7A9C" w:rsidP="00182BC2">
            <w:pPr>
              <w:ind w:right="-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course details subject to final controlling.  </w:t>
            </w:r>
            <w:r w:rsidR="00346B44" w:rsidRPr="000C338D">
              <w:rPr>
                <w:rFonts w:ascii="Arial" w:hAnsi="Arial" w:cs="Arial"/>
              </w:rPr>
              <w:t>The White is unsuitable for pushchairs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8D11DD" w:rsidRDefault="008D11DD" w:rsidP="00182BC2">
            <w:pPr>
              <w:ind w:right="-427"/>
              <w:jc w:val="both"/>
              <w:rPr>
                <w:rFonts w:ascii="Arial" w:hAnsi="Arial" w:cs="Arial"/>
              </w:rPr>
            </w:pPr>
          </w:p>
          <w:p w:rsidR="008D11DD" w:rsidRDefault="008D11DD" w:rsidP="00346B44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may run up or down a course and your Super League score will be </w:t>
            </w:r>
            <w:r w:rsidR="0081503F">
              <w:rPr>
                <w:rFonts w:ascii="Arial" w:hAnsi="Arial" w:cs="Arial"/>
              </w:rPr>
              <w:t>calcula</w:t>
            </w:r>
            <w:r>
              <w:rPr>
                <w:rFonts w:ascii="Arial" w:hAnsi="Arial" w:cs="Arial"/>
              </w:rPr>
              <w:t xml:space="preserve">ted </w:t>
            </w:r>
            <w:r w:rsidR="00346B44">
              <w:rPr>
                <w:rFonts w:ascii="Arial" w:hAnsi="Arial" w:cs="Arial"/>
              </w:rPr>
              <w:t>according to</w:t>
            </w:r>
            <w:r>
              <w:rPr>
                <w:rFonts w:ascii="Arial" w:hAnsi="Arial" w:cs="Arial"/>
              </w:rPr>
              <w:t xml:space="preserve"> the Super League rules. See </w:t>
            </w:r>
            <w:hyperlink r:id="rId6" w:history="1">
              <w:r w:rsidRPr="00C53F24">
                <w:rPr>
                  <w:rStyle w:val="Hyperlink"/>
                  <w:rFonts w:ascii="Arial" w:hAnsi="Arial" w:cs="Arial"/>
                </w:rPr>
                <w:t>http://www.yhoa.org.uk/yorkshire-superleague-rules</w:t>
              </w:r>
            </w:hyperlink>
            <w:r w:rsidR="003C7014" w:rsidRPr="008D11DD">
              <w:rPr>
                <w:rFonts w:ascii="Arial" w:hAnsi="Arial" w:cs="Arial"/>
              </w:rPr>
              <w:t>/</w:t>
            </w:r>
            <w:r w:rsidR="003C7014">
              <w:rPr>
                <w:rFonts w:ascii="Arial" w:hAnsi="Arial" w:cs="Arial"/>
              </w:rPr>
              <w:t xml:space="preserve">. </w:t>
            </w:r>
            <w:r w:rsidR="003062E5" w:rsidRPr="003C7014">
              <w:rPr>
                <w:rFonts w:ascii="Arial" w:hAnsi="Arial" w:cs="Arial"/>
                <w:sz w:val="18"/>
                <w:szCs w:val="18"/>
              </w:rPr>
              <w:t>(Basically if you run a longer course than your standard you score the same points for the same min/km as in your standard, if you run a shorter course the scores are reduced)</w:t>
            </w:r>
          </w:p>
          <w:p w:rsidR="008D11DD" w:rsidRDefault="008D11DD" w:rsidP="00182BC2">
            <w:pPr>
              <w:ind w:right="-427"/>
              <w:jc w:val="both"/>
              <w:rPr>
                <w:rFonts w:ascii="Arial" w:hAnsi="Arial" w:cs="Arial"/>
              </w:rPr>
            </w:pPr>
          </w:p>
          <w:p w:rsidR="000C338D" w:rsidRDefault="008D11DD" w:rsidP="00182BC2">
            <w:pPr>
              <w:ind w:right="-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Orienteering ranking points will be calculated as normal.</w:t>
            </w:r>
          </w:p>
          <w:p w:rsidR="008D11DD" w:rsidRPr="000C338D" w:rsidRDefault="008D11DD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306F27" w:rsidRPr="00D82563" w:rsidTr="008D11DD">
        <w:tc>
          <w:tcPr>
            <w:tcW w:w="1417" w:type="dxa"/>
          </w:tcPr>
          <w:p w:rsidR="00306F27" w:rsidRPr="00D82563" w:rsidRDefault="007D69EA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lastRenderedPageBreak/>
              <w:t>Starts</w:t>
            </w:r>
          </w:p>
        </w:tc>
        <w:tc>
          <w:tcPr>
            <w:tcW w:w="8505" w:type="dxa"/>
          </w:tcPr>
          <w:p w:rsidR="007D69EA" w:rsidRPr="008D11DD" w:rsidRDefault="007D69EA" w:rsidP="00182BC2">
            <w:pPr>
              <w:ind w:right="283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>10</w:t>
            </w:r>
            <w:r w:rsidR="00450767" w:rsidRPr="008D11DD">
              <w:rPr>
                <w:rFonts w:ascii="Arial" w:hAnsi="Arial" w:cs="Arial"/>
              </w:rPr>
              <w:t>.</w:t>
            </w:r>
            <w:r w:rsidRPr="008D11DD">
              <w:rPr>
                <w:rFonts w:ascii="Arial" w:hAnsi="Arial" w:cs="Arial"/>
              </w:rPr>
              <w:t>30am  to 12</w:t>
            </w:r>
            <w:r w:rsidR="00450767" w:rsidRPr="008D11DD">
              <w:rPr>
                <w:rFonts w:ascii="Arial" w:hAnsi="Arial" w:cs="Arial"/>
              </w:rPr>
              <w:t>.</w:t>
            </w:r>
            <w:r w:rsidRPr="008D11DD">
              <w:rPr>
                <w:rFonts w:ascii="Arial" w:hAnsi="Arial" w:cs="Arial"/>
              </w:rPr>
              <w:t xml:space="preserve">30pm </w:t>
            </w:r>
          </w:p>
          <w:p w:rsidR="007D69EA" w:rsidRPr="008D11DD" w:rsidRDefault="00D82563" w:rsidP="00182BC2">
            <w:pPr>
              <w:ind w:right="283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>The Start and Finish are 10</w:t>
            </w:r>
            <w:r w:rsidR="007D69EA" w:rsidRPr="008D11DD">
              <w:rPr>
                <w:rFonts w:ascii="Arial" w:hAnsi="Arial" w:cs="Arial"/>
              </w:rPr>
              <w:t xml:space="preserve"> mins away from Registration</w:t>
            </w:r>
          </w:p>
          <w:p w:rsidR="00306F27" w:rsidRPr="008D11DD" w:rsidRDefault="00306F27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306F27" w:rsidRPr="00D82563" w:rsidTr="008D11DD">
        <w:tc>
          <w:tcPr>
            <w:tcW w:w="1417" w:type="dxa"/>
          </w:tcPr>
          <w:p w:rsidR="00306F27" w:rsidRPr="00D82563" w:rsidRDefault="007D69EA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Entry</w:t>
            </w:r>
          </w:p>
        </w:tc>
        <w:tc>
          <w:tcPr>
            <w:tcW w:w="8505" w:type="dxa"/>
          </w:tcPr>
          <w:p w:rsidR="00306F27" w:rsidRPr="008D11DD" w:rsidRDefault="007D69EA" w:rsidP="00182BC2">
            <w:pPr>
              <w:ind w:right="-427"/>
              <w:jc w:val="both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>On the day.</w:t>
            </w:r>
          </w:p>
          <w:p w:rsidR="00450767" w:rsidRPr="008D11DD" w:rsidRDefault="00450767" w:rsidP="00182BC2">
            <w:pPr>
              <w:ind w:right="-427"/>
              <w:jc w:val="both"/>
              <w:rPr>
                <w:rFonts w:ascii="Arial" w:hAnsi="Arial" w:cs="Arial"/>
              </w:rPr>
            </w:pPr>
          </w:p>
          <w:p w:rsidR="007D69EA" w:rsidRPr="008D11DD" w:rsidRDefault="007D69EA" w:rsidP="00182BC2">
            <w:pPr>
              <w:ind w:right="-427"/>
              <w:jc w:val="both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>Fees Seniors £8</w:t>
            </w:r>
            <w:r w:rsidR="00182BC2" w:rsidRPr="008D11DD">
              <w:rPr>
                <w:rFonts w:ascii="Arial" w:hAnsi="Arial" w:cs="Arial"/>
              </w:rPr>
              <w:t xml:space="preserve"> (BOF members £6)</w:t>
            </w:r>
            <w:r w:rsidRPr="008D11DD">
              <w:rPr>
                <w:rFonts w:ascii="Arial" w:hAnsi="Arial" w:cs="Arial"/>
              </w:rPr>
              <w:t xml:space="preserve"> </w:t>
            </w:r>
            <w:r w:rsidR="00182BC2" w:rsidRPr="008D11DD">
              <w:rPr>
                <w:rFonts w:ascii="Arial" w:hAnsi="Arial" w:cs="Arial"/>
              </w:rPr>
              <w:t>Juniors and concessions</w:t>
            </w:r>
            <w:r w:rsidRPr="008D11DD">
              <w:rPr>
                <w:rFonts w:ascii="Arial" w:hAnsi="Arial" w:cs="Arial"/>
              </w:rPr>
              <w:t xml:space="preserve"> £3</w:t>
            </w:r>
          </w:p>
          <w:p w:rsidR="00450767" w:rsidRPr="008D11DD" w:rsidRDefault="00D82563" w:rsidP="00450767">
            <w:pPr>
              <w:ind w:right="-427"/>
              <w:jc w:val="both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 xml:space="preserve">Family </w:t>
            </w:r>
            <w:r w:rsidR="00904023" w:rsidRPr="008D11DD">
              <w:rPr>
                <w:rFonts w:ascii="Arial" w:hAnsi="Arial" w:cs="Arial"/>
              </w:rPr>
              <w:t>£19 (2 adults and 2 or more children) (£15 BOF members)</w:t>
            </w:r>
            <w:r w:rsidR="00450767" w:rsidRPr="008D11DD">
              <w:rPr>
                <w:rFonts w:ascii="Arial" w:hAnsi="Arial" w:cs="Arial"/>
              </w:rPr>
              <w:t xml:space="preserve"> </w:t>
            </w:r>
          </w:p>
          <w:p w:rsidR="00450767" w:rsidRPr="008D11DD" w:rsidRDefault="00450767" w:rsidP="00450767">
            <w:pPr>
              <w:ind w:right="-427"/>
              <w:jc w:val="both"/>
              <w:rPr>
                <w:rFonts w:ascii="Arial" w:hAnsi="Arial" w:cs="Arial"/>
              </w:rPr>
            </w:pPr>
          </w:p>
          <w:p w:rsidR="00450767" w:rsidRPr="008D11DD" w:rsidRDefault="00450767" w:rsidP="00182BC2">
            <w:pPr>
              <w:ind w:right="-427"/>
              <w:jc w:val="both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>SI punching will be used. SI cards will be free to hire but any lost cards may be charged at full replacement cost.</w:t>
            </w:r>
          </w:p>
          <w:p w:rsidR="004F7BB6" w:rsidRPr="008D11DD" w:rsidRDefault="004F7BB6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306F27" w:rsidRPr="00D82563" w:rsidTr="008D11DD">
        <w:tc>
          <w:tcPr>
            <w:tcW w:w="1417" w:type="dxa"/>
          </w:tcPr>
          <w:p w:rsidR="00306F27" w:rsidRPr="00D82563" w:rsidRDefault="00182BC2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  <w:r w:rsidRPr="00D82563">
              <w:rPr>
                <w:rFonts w:ascii="Arial" w:hAnsi="Arial" w:cs="Arial"/>
                <w:b/>
              </w:rPr>
              <w:t>Dogs</w:t>
            </w:r>
          </w:p>
        </w:tc>
        <w:tc>
          <w:tcPr>
            <w:tcW w:w="8505" w:type="dxa"/>
          </w:tcPr>
          <w:p w:rsidR="00306F27" w:rsidRPr="008D11DD" w:rsidRDefault="00182BC2" w:rsidP="00182BC2">
            <w:pPr>
              <w:ind w:right="-427"/>
              <w:jc w:val="both"/>
              <w:rPr>
                <w:rFonts w:ascii="Arial" w:hAnsi="Arial" w:cs="Arial"/>
              </w:rPr>
            </w:pPr>
            <w:r w:rsidRPr="008D11DD">
              <w:rPr>
                <w:rFonts w:ascii="Arial" w:hAnsi="Arial" w:cs="Arial"/>
              </w:rPr>
              <w:t>Dogs welcome under control in the woods but please keep on a lead in the college grounds and clear any mess up</w:t>
            </w:r>
          </w:p>
          <w:p w:rsidR="007D69EA" w:rsidRPr="008D11DD" w:rsidRDefault="007D69EA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7D69EA" w:rsidRPr="00D82563" w:rsidTr="008D11DD">
        <w:tc>
          <w:tcPr>
            <w:tcW w:w="1417" w:type="dxa"/>
          </w:tcPr>
          <w:p w:rsidR="007D69EA" w:rsidRPr="00D82563" w:rsidRDefault="007D69EA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</w:tcPr>
          <w:p w:rsidR="0062167D" w:rsidRPr="008D11DD" w:rsidRDefault="007D69EA" w:rsidP="0062167D">
            <w:pPr>
              <w:ind w:right="-427"/>
              <w:rPr>
                <w:rFonts w:ascii="Arial" w:hAnsi="Arial" w:cs="Arial"/>
                <w:lang w:val="en-US"/>
              </w:rPr>
            </w:pPr>
            <w:r w:rsidRPr="008D11DD">
              <w:rPr>
                <w:rFonts w:ascii="Arial" w:hAnsi="Arial" w:cs="Arial"/>
              </w:rPr>
              <w:t xml:space="preserve">Organiser </w:t>
            </w:r>
            <w:r w:rsidR="0062167D" w:rsidRPr="008D11DD">
              <w:rPr>
                <w:rFonts w:ascii="Arial" w:hAnsi="Arial" w:cs="Arial"/>
              </w:rPr>
              <w:t xml:space="preserve"> </w:t>
            </w:r>
            <w:r w:rsidRPr="008D11DD">
              <w:rPr>
                <w:rFonts w:ascii="Arial" w:hAnsi="Arial" w:cs="Arial"/>
              </w:rPr>
              <w:t>-</w:t>
            </w:r>
            <w:r w:rsidR="00450767" w:rsidRPr="008D11DD">
              <w:rPr>
                <w:rFonts w:ascii="Arial" w:hAnsi="Arial" w:cs="Arial"/>
                <w:lang w:val="en-US"/>
              </w:rPr>
              <w:t xml:space="preserve"> </w:t>
            </w:r>
            <w:r w:rsidR="00904023" w:rsidRPr="008D11DD">
              <w:rPr>
                <w:rFonts w:ascii="Arial" w:hAnsi="Arial" w:cs="Arial"/>
                <w:lang w:val="en-US"/>
              </w:rPr>
              <w:t xml:space="preserve">Colin Best (colinallanb@yahoo.co.uk) </w:t>
            </w:r>
          </w:p>
          <w:p w:rsidR="007D69EA" w:rsidRPr="008D11DD" w:rsidRDefault="0062167D" w:rsidP="0062167D">
            <w:pPr>
              <w:ind w:right="-427"/>
              <w:rPr>
                <w:rFonts w:ascii="Arial" w:hAnsi="Arial" w:cs="Arial"/>
                <w:i/>
                <w:iCs/>
              </w:rPr>
            </w:pPr>
            <w:r w:rsidRPr="008D11DD">
              <w:rPr>
                <w:rFonts w:ascii="Arial" w:hAnsi="Arial" w:cs="Arial"/>
                <w:lang w:val="en-US"/>
              </w:rPr>
              <w:t xml:space="preserve">                                           </w:t>
            </w:r>
            <w:r w:rsidR="00904023" w:rsidRPr="008D11DD">
              <w:rPr>
                <w:rFonts w:ascii="Arial" w:hAnsi="Arial" w:cs="Arial"/>
                <w:lang w:val="en-US"/>
              </w:rPr>
              <w:t>Tel 01142302</w:t>
            </w:r>
            <w:r w:rsidR="007D69EA" w:rsidRPr="008D11DD">
              <w:rPr>
                <w:rFonts w:ascii="Arial" w:hAnsi="Arial" w:cs="Arial"/>
                <w:lang w:val="en-US"/>
              </w:rPr>
              <w:t>621</w:t>
            </w:r>
            <w:r w:rsidR="00904023" w:rsidRPr="008D11DD">
              <w:rPr>
                <w:rFonts w:ascii="Arial" w:hAnsi="Arial" w:cs="Arial"/>
                <w:lang w:val="en-US"/>
              </w:rPr>
              <w:t>/07800540596</w:t>
            </w:r>
          </w:p>
          <w:p w:rsidR="007D69EA" w:rsidRPr="008D11DD" w:rsidRDefault="0062167D" w:rsidP="0062167D">
            <w:pPr>
              <w:ind w:right="-427"/>
              <w:rPr>
                <w:rFonts w:ascii="Arial" w:hAnsi="Arial" w:cs="Arial"/>
                <w:lang w:val="en-US"/>
              </w:rPr>
            </w:pPr>
            <w:r w:rsidRPr="008D11DD">
              <w:rPr>
                <w:rFonts w:ascii="Arial" w:hAnsi="Arial" w:cs="Arial"/>
              </w:rPr>
              <w:t xml:space="preserve">Planner      </w:t>
            </w:r>
            <w:r w:rsidR="00450767" w:rsidRPr="008D11DD">
              <w:rPr>
                <w:rFonts w:ascii="Arial" w:hAnsi="Arial" w:cs="Arial"/>
              </w:rPr>
              <w:t xml:space="preserve">- </w:t>
            </w:r>
            <w:r w:rsidRPr="008D11DD">
              <w:rPr>
                <w:rFonts w:ascii="Arial" w:hAnsi="Arial" w:cs="Arial"/>
              </w:rPr>
              <w:t>Charles</w:t>
            </w:r>
            <w:r w:rsidR="007D69EA" w:rsidRPr="008D11DD">
              <w:rPr>
                <w:rFonts w:ascii="Arial" w:hAnsi="Arial" w:cs="Arial"/>
              </w:rPr>
              <w:t xml:space="preserve"> </w:t>
            </w:r>
            <w:proofErr w:type="spellStart"/>
            <w:r w:rsidR="007D69EA" w:rsidRPr="008D11DD">
              <w:rPr>
                <w:rFonts w:ascii="Arial" w:hAnsi="Arial" w:cs="Arial"/>
              </w:rPr>
              <w:t>Hird</w:t>
            </w:r>
            <w:proofErr w:type="spellEnd"/>
          </w:p>
          <w:p w:rsidR="007D69EA" w:rsidRPr="008D11DD" w:rsidRDefault="00450767" w:rsidP="0062167D">
            <w:pPr>
              <w:pStyle w:val="Heading1"/>
              <w:jc w:val="left"/>
              <w:rPr>
                <w:rFonts w:cs="Arial"/>
                <w:sz w:val="20"/>
              </w:rPr>
            </w:pPr>
            <w:proofErr w:type="gramStart"/>
            <w:r w:rsidRPr="008D11DD">
              <w:rPr>
                <w:rFonts w:cs="Arial"/>
                <w:sz w:val="20"/>
              </w:rPr>
              <w:t>Controller  -</w:t>
            </w:r>
            <w:proofErr w:type="gramEnd"/>
            <w:r w:rsidRPr="008D11DD">
              <w:rPr>
                <w:rFonts w:cs="Arial"/>
                <w:sz w:val="20"/>
              </w:rPr>
              <w:t xml:space="preserve"> </w:t>
            </w:r>
            <w:r w:rsidR="0062167D" w:rsidRPr="008D11DD">
              <w:rPr>
                <w:rFonts w:cs="Arial"/>
                <w:sz w:val="20"/>
              </w:rPr>
              <w:t xml:space="preserve">Jim </w:t>
            </w:r>
            <w:r w:rsidR="00D82563" w:rsidRPr="008D11DD">
              <w:rPr>
                <w:rFonts w:cs="Arial"/>
                <w:sz w:val="20"/>
              </w:rPr>
              <w:t>Elder</w:t>
            </w:r>
          </w:p>
          <w:p w:rsidR="007D69EA" w:rsidRPr="008D11DD" w:rsidRDefault="007D69EA" w:rsidP="007D69EA">
            <w:pPr>
              <w:rPr>
                <w:rFonts w:ascii="Arial" w:hAnsi="Arial" w:cs="Arial"/>
              </w:rPr>
            </w:pPr>
          </w:p>
          <w:p w:rsidR="007D69EA" w:rsidRPr="008D11DD" w:rsidRDefault="007D69EA" w:rsidP="00182BC2">
            <w:pPr>
              <w:ind w:right="-427"/>
              <w:jc w:val="both"/>
              <w:rPr>
                <w:rFonts w:ascii="Arial" w:hAnsi="Arial" w:cs="Arial"/>
              </w:rPr>
            </w:pPr>
          </w:p>
        </w:tc>
      </w:tr>
      <w:tr w:rsidR="0062167D" w:rsidRPr="00D82563" w:rsidTr="008D11DD">
        <w:tc>
          <w:tcPr>
            <w:tcW w:w="1417" w:type="dxa"/>
          </w:tcPr>
          <w:p w:rsidR="0062167D" w:rsidRPr="00D82563" w:rsidRDefault="0062167D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</w:tcPr>
          <w:p w:rsidR="0062167D" w:rsidRPr="00D82563" w:rsidRDefault="0062167D" w:rsidP="0062167D">
            <w:pPr>
              <w:ind w:right="-427"/>
              <w:rPr>
                <w:rFonts w:ascii="Arial" w:hAnsi="Arial" w:cs="Arial"/>
                <w:b/>
              </w:rPr>
            </w:pPr>
          </w:p>
        </w:tc>
      </w:tr>
      <w:tr w:rsidR="0062167D" w:rsidRPr="00D82563" w:rsidTr="008D11DD">
        <w:tc>
          <w:tcPr>
            <w:tcW w:w="1417" w:type="dxa"/>
          </w:tcPr>
          <w:p w:rsidR="0062167D" w:rsidRPr="00D82563" w:rsidRDefault="0062167D" w:rsidP="00182BC2">
            <w:pPr>
              <w:ind w:right="-42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</w:tcPr>
          <w:p w:rsidR="0062167D" w:rsidRPr="00D82563" w:rsidRDefault="0062167D" w:rsidP="0062167D">
            <w:pPr>
              <w:ind w:right="-427"/>
              <w:rPr>
                <w:rFonts w:ascii="Arial" w:hAnsi="Arial" w:cs="Arial"/>
                <w:b/>
              </w:rPr>
            </w:pPr>
          </w:p>
        </w:tc>
      </w:tr>
    </w:tbl>
    <w:p w:rsidR="005F587A" w:rsidRPr="00D82563" w:rsidRDefault="005F587A">
      <w:pPr>
        <w:ind w:right="-427"/>
        <w:jc w:val="both"/>
        <w:rPr>
          <w:rFonts w:ascii="Arial" w:hAnsi="Arial" w:cs="Arial"/>
        </w:rPr>
      </w:pPr>
    </w:p>
    <w:sectPr w:rsidR="005F587A" w:rsidRPr="00D82563">
      <w:pgSz w:w="11907" w:h="16840" w:code="9"/>
      <w:pgMar w:top="142" w:right="567" w:bottom="851" w:left="709" w:header="720" w:footer="720" w:gutter="0"/>
      <w:cols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805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D1D49"/>
    <w:multiLevelType w:val="multilevel"/>
    <w:tmpl w:val="5CC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CB1"/>
    <w:rsid w:val="000C0523"/>
    <w:rsid w:val="000C338D"/>
    <w:rsid w:val="00163D78"/>
    <w:rsid w:val="00182BC2"/>
    <w:rsid w:val="002003C1"/>
    <w:rsid w:val="003062E5"/>
    <w:rsid w:val="00306F27"/>
    <w:rsid w:val="00346B44"/>
    <w:rsid w:val="003C7014"/>
    <w:rsid w:val="00450767"/>
    <w:rsid w:val="004F7BB6"/>
    <w:rsid w:val="005F587A"/>
    <w:rsid w:val="0062167D"/>
    <w:rsid w:val="006A7A9C"/>
    <w:rsid w:val="007263DA"/>
    <w:rsid w:val="007C2493"/>
    <w:rsid w:val="007D69EA"/>
    <w:rsid w:val="0081503F"/>
    <w:rsid w:val="008D11DD"/>
    <w:rsid w:val="00904023"/>
    <w:rsid w:val="00A41081"/>
    <w:rsid w:val="00A464A0"/>
    <w:rsid w:val="00BC7E41"/>
    <w:rsid w:val="00C53F24"/>
    <w:rsid w:val="00D17EC4"/>
    <w:rsid w:val="00D82563"/>
    <w:rsid w:val="00D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9BAE170-E7DD-4FD8-8C35-47F5271C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427"/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table" w:styleId="TableGrid">
    <w:name w:val="Table Grid"/>
    <w:basedOn w:val="TableNormal"/>
    <w:uiPriority w:val="59"/>
    <w:rsid w:val="0030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semiHidden/>
    <w:rsid w:val="00306F27"/>
    <w:rPr>
      <w:sz w:val="22"/>
      <w:szCs w:val="24"/>
      <w:lang w:eastAsia="en-US"/>
    </w:rPr>
  </w:style>
  <w:style w:type="character" w:customStyle="1" w:styleId="Heading1Char">
    <w:name w:val="Heading 1 Char"/>
    <w:link w:val="Heading1"/>
    <w:rsid w:val="007D69E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hoa.org.uk/yorkshire-superleague-ru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South Yorkshire Orienteers </vt:lpstr>
    </vt:vector>
  </TitlesOfParts>
  <Company> 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South Yorkshire Orienteers </dc:title>
  <dc:subject/>
  <dc:creator>Cooper</dc:creator>
  <cp:keywords/>
  <dc:description/>
  <cp:lastModifiedBy>Peter gorvett</cp:lastModifiedBy>
  <cp:revision>3</cp:revision>
  <dcterms:created xsi:type="dcterms:W3CDTF">2015-12-01T17:57:00Z</dcterms:created>
  <dcterms:modified xsi:type="dcterms:W3CDTF">2015-12-01T17:59:00Z</dcterms:modified>
</cp:coreProperties>
</file>